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4E" w:rsidRDefault="00EE264E" w:rsidP="002B50F1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r w:rsidRPr="00BF435C">
        <w:rPr>
          <w:rFonts w:ascii="Times New Roman" w:hAnsi="Times New Roman"/>
          <w:b/>
          <w:color w:val="auto"/>
          <w:sz w:val="28"/>
        </w:rPr>
        <w:t>Contract Award Notice</w:t>
      </w:r>
    </w:p>
    <w:p w:rsidR="00EE264E" w:rsidRPr="00EE264E" w:rsidRDefault="00EE264E" w:rsidP="00EE264E">
      <w:pPr>
        <w:spacing w:after="0" w:line="240" w:lineRule="auto"/>
        <w:rPr>
          <w:lang w:val="en-US"/>
        </w:rPr>
      </w:pPr>
    </w:p>
    <w:p w:rsidR="00EE264E" w:rsidRPr="00EE264E" w:rsidRDefault="00EE264E" w:rsidP="00BE432E">
      <w:pPr>
        <w:suppressAutoHyphens/>
        <w:spacing w:after="0" w:line="240" w:lineRule="auto"/>
        <w:rPr>
          <w:rFonts w:ascii="Times New Roman" w:hAnsi="Times New Roman" w:cs="Times New Roman"/>
          <w:b/>
          <w:spacing w:val="-2"/>
          <w:lang w:val="en-US"/>
        </w:rPr>
      </w:pPr>
      <w:r w:rsidRPr="00EE264E">
        <w:rPr>
          <w:rFonts w:ascii="Times New Roman" w:hAnsi="Times New Roman" w:cs="Times New Roman"/>
          <w:spacing w:val="-2"/>
          <w:lang w:val="en-US"/>
        </w:rPr>
        <w:t>Country:</w:t>
      </w:r>
      <w:r w:rsidRPr="00EE264E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="0000523B">
        <w:rPr>
          <w:rFonts w:ascii="Times New Roman" w:hAnsi="Times New Roman" w:cs="Times New Roman"/>
          <w:b/>
          <w:spacing w:val="-2"/>
          <w:lang w:val="en-US"/>
        </w:rPr>
        <w:t xml:space="preserve">Kyrgyz </w:t>
      </w:r>
      <w:r w:rsidRPr="00EE264E">
        <w:rPr>
          <w:rFonts w:ascii="Times New Roman" w:hAnsi="Times New Roman" w:cs="Times New Roman"/>
          <w:b/>
          <w:lang w:val="en-US"/>
        </w:rPr>
        <w:t>Republic</w:t>
      </w:r>
    </w:p>
    <w:p w:rsidR="00EE264E" w:rsidRDefault="00EE264E" w:rsidP="00BE432E">
      <w:pPr>
        <w:suppressAutoHyphens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E264E">
        <w:rPr>
          <w:rFonts w:ascii="Times New Roman" w:hAnsi="Times New Roman" w:cs="Times New Roman"/>
          <w:spacing w:val="-2"/>
          <w:lang w:val="en-US"/>
        </w:rPr>
        <w:t>Project Name:</w:t>
      </w:r>
      <w:r w:rsidRPr="00EE264E">
        <w:rPr>
          <w:rFonts w:ascii="Times New Roman" w:hAnsi="Times New Roman" w:cs="Times New Roman"/>
          <w:b/>
          <w:spacing w:val="-2"/>
          <w:lang w:val="en-US"/>
        </w:rPr>
        <w:t xml:space="preserve"> </w:t>
      </w:r>
      <w:r w:rsidR="00E23BC4" w:rsidRPr="00E23BC4">
        <w:rPr>
          <w:rFonts w:ascii="Times New Roman" w:hAnsi="Times New Roman"/>
          <w:b/>
          <w:sz w:val="24"/>
          <w:szCs w:val="24"/>
          <w:lang w:val="en-US"/>
        </w:rPr>
        <w:t xml:space="preserve">Start-up of Second Generator Unit of </w:t>
      </w:r>
      <w:proofErr w:type="spellStart"/>
      <w:r w:rsidR="00E23BC4" w:rsidRPr="00E23BC4">
        <w:rPr>
          <w:rFonts w:ascii="Times New Roman" w:hAnsi="Times New Roman"/>
          <w:b/>
          <w:sz w:val="24"/>
          <w:szCs w:val="24"/>
          <w:lang w:val="en-US"/>
        </w:rPr>
        <w:t>Kambarata</w:t>
      </w:r>
      <w:proofErr w:type="spellEnd"/>
      <w:r w:rsidR="00E23BC4" w:rsidRPr="00E23BC4">
        <w:rPr>
          <w:rFonts w:ascii="Times New Roman" w:hAnsi="Times New Roman"/>
          <w:b/>
          <w:sz w:val="24"/>
          <w:szCs w:val="24"/>
          <w:lang w:val="en-US"/>
        </w:rPr>
        <w:t xml:space="preserve"> HPP-2</w:t>
      </w:r>
      <w:r w:rsidR="00E23BC4" w:rsidRPr="00EE264E">
        <w:rPr>
          <w:rFonts w:ascii="Times New Roman" w:hAnsi="Times New Roman" w:cs="Times New Roman"/>
          <w:b/>
          <w:lang w:val="en-US"/>
        </w:rPr>
        <w:t xml:space="preserve"> </w:t>
      </w:r>
      <w:r w:rsidR="00E23BC4">
        <w:rPr>
          <w:rFonts w:ascii="Times New Roman" w:hAnsi="Times New Roman" w:cs="Times New Roman"/>
          <w:b/>
          <w:lang w:val="en-US"/>
        </w:rPr>
        <w:t>Project</w:t>
      </w:r>
    </w:p>
    <w:p w:rsidR="00EE264E" w:rsidRPr="00BE432E" w:rsidRDefault="00EE264E" w:rsidP="00BE432E">
      <w:pPr>
        <w:suppressAutoHyphens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E264E">
        <w:rPr>
          <w:rFonts w:ascii="Times New Roman" w:hAnsi="Times New Roman" w:cs="Times New Roman"/>
          <w:lang w:val="en-US"/>
        </w:rPr>
        <w:t>Contract Name &amp; Ref#:</w:t>
      </w:r>
      <w:r w:rsidRPr="00EE264E">
        <w:rPr>
          <w:rFonts w:ascii="Times New Roman" w:hAnsi="Times New Roman" w:cs="Times New Roman"/>
          <w:b/>
          <w:lang w:val="en-US"/>
        </w:rPr>
        <w:t xml:space="preserve"> “</w:t>
      </w:r>
      <w:r w:rsidR="00E23BC4">
        <w:rPr>
          <w:rFonts w:ascii="Times New Roman" w:hAnsi="Times New Roman"/>
          <w:b/>
          <w:sz w:val="24"/>
          <w:szCs w:val="24"/>
          <w:lang w:val="en-US"/>
        </w:rPr>
        <w:t>P</w:t>
      </w:r>
      <w:r w:rsidR="00E23BC4" w:rsidRPr="00E23BC4">
        <w:rPr>
          <w:rFonts w:ascii="Times New Roman" w:hAnsi="Times New Roman"/>
          <w:b/>
          <w:sz w:val="24"/>
          <w:szCs w:val="24"/>
          <w:lang w:val="en-US"/>
        </w:rPr>
        <w:t>rovision of the services of the consulting engineer on supervision of the</w:t>
      </w:r>
      <w:r w:rsidR="00E23B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23BC4" w:rsidRPr="00E23BC4">
        <w:rPr>
          <w:rFonts w:ascii="Times New Roman" w:hAnsi="Times New Roman"/>
          <w:b/>
          <w:sz w:val="24"/>
          <w:szCs w:val="24"/>
          <w:lang w:val="en-US"/>
        </w:rPr>
        <w:t xml:space="preserve">Start-up of Second Generator Unit of </w:t>
      </w:r>
      <w:proofErr w:type="spellStart"/>
      <w:r w:rsidR="00E23BC4" w:rsidRPr="00E23BC4">
        <w:rPr>
          <w:rFonts w:ascii="Times New Roman" w:hAnsi="Times New Roman"/>
          <w:b/>
          <w:sz w:val="24"/>
          <w:szCs w:val="24"/>
          <w:lang w:val="en-US"/>
        </w:rPr>
        <w:t>Kambarata</w:t>
      </w:r>
      <w:proofErr w:type="spellEnd"/>
      <w:r w:rsidR="00E23BC4" w:rsidRPr="00E23BC4">
        <w:rPr>
          <w:rFonts w:ascii="Times New Roman" w:hAnsi="Times New Roman"/>
          <w:b/>
          <w:sz w:val="24"/>
          <w:szCs w:val="24"/>
          <w:lang w:val="en-US"/>
        </w:rPr>
        <w:t xml:space="preserve"> HPP-2 Project</w:t>
      </w:r>
      <w:r w:rsidRPr="00EE264E">
        <w:rPr>
          <w:rFonts w:ascii="Times New Roman" w:hAnsi="Times New Roman" w:cs="Times New Roman"/>
          <w:b/>
          <w:lang w:val="en-US"/>
        </w:rPr>
        <w:t xml:space="preserve">”, </w:t>
      </w:r>
      <w:r w:rsidR="00BE432E">
        <w:rPr>
          <w:rFonts w:ascii="Times New Roman" w:hAnsi="Times New Roman" w:cs="Times New Roman"/>
          <w:b/>
          <w:lang w:val="en-US"/>
        </w:rPr>
        <w:t>#</w:t>
      </w:r>
      <w:r w:rsidR="00BE432E" w:rsidRPr="00BE432E">
        <w:rPr>
          <w:rFonts w:ascii="Times New Roman" w:hAnsi="Times New Roman" w:cs="Times New Roman"/>
          <w:b/>
          <w:bCs/>
          <w:sz w:val="24"/>
          <w:szCs w:val="24"/>
          <w:lang w:val="en-US"/>
        </w:rPr>
        <w:t>KHPP2-QCBS-01.</w:t>
      </w:r>
    </w:p>
    <w:p w:rsidR="008F59F8" w:rsidRPr="002971D2" w:rsidRDefault="008F59F8" w:rsidP="009D196E">
      <w:pPr>
        <w:suppressAutoHyphens/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971D2">
        <w:rPr>
          <w:rFonts w:ascii="Times New Roman" w:hAnsi="Times New Roman" w:cs="Times New Roman"/>
          <w:sz w:val="20"/>
          <w:szCs w:val="20"/>
          <w:lang w:val="en-US"/>
        </w:rPr>
        <w:t>Method of Selection:</w:t>
      </w:r>
      <w:r w:rsidRPr="002971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Quality-Cost Based Selection (QCBS)</w:t>
      </w:r>
    </w:p>
    <w:p w:rsidR="008F59F8" w:rsidRPr="002971D2" w:rsidRDefault="008F59F8" w:rsidP="009D196E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971D2">
        <w:rPr>
          <w:rFonts w:ascii="Times New Roman" w:hAnsi="Times New Roman" w:cs="Times New Roman"/>
          <w:sz w:val="20"/>
          <w:szCs w:val="20"/>
          <w:lang w:val="en-US"/>
        </w:rPr>
        <w:t>Minimum Qualifying Technical Score (St):</w:t>
      </w:r>
      <w:r w:rsidRPr="002971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75 points</w:t>
      </w:r>
    </w:p>
    <w:p w:rsidR="00074A7E" w:rsidRPr="002971D2" w:rsidRDefault="008F59F8" w:rsidP="005901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971D2">
        <w:rPr>
          <w:rFonts w:ascii="Times New Roman" w:hAnsi="Times New Roman" w:cs="Times New Roman"/>
          <w:sz w:val="20"/>
          <w:szCs w:val="20"/>
          <w:lang w:val="en-US"/>
        </w:rPr>
        <w:t>Scope of Contract:</w:t>
      </w:r>
      <w:r w:rsidRPr="002971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A6EF4" w:rsidRPr="005A6E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consulting services (“the Services”) comprise </w:t>
      </w:r>
      <w:r w:rsidR="00C972DD" w:rsidRPr="00C972DD">
        <w:rPr>
          <w:rFonts w:ascii="Times New Roman" w:hAnsi="Times New Roman" w:cs="Times New Roman"/>
          <w:bCs/>
          <w:sz w:val="20"/>
          <w:szCs w:val="20"/>
          <w:lang w:val="en-US"/>
        </w:rPr>
        <w:t>assistance in preparing tender documentation and conducting competitive selection of the project contractor</w:t>
      </w:r>
      <w:r w:rsidR="00074A7E" w:rsidRPr="002971D2">
        <w:rPr>
          <w:rFonts w:ascii="Times New Roman" w:hAnsi="Times New Roman"/>
          <w:snapToGrid w:val="0"/>
          <w:sz w:val="20"/>
          <w:szCs w:val="20"/>
          <w:lang w:val="en-US"/>
        </w:rPr>
        <w:t xml:space="preserve"> (including preparation of clarifications to participating firms, assistance with evaluation of proposals, participation in contract negotiations</w:t>
      </w:r>
      <w:r w:rsidR="00FB3400">
        <w:rPr>
          <w:rFonts w:ascii="Times New Roman" w:hAnsi="Times New Roman"/>
          <w:snapToGrid w:val="0"/>
          <w:sz w:val="20"/>
          <w:szCs w:val="20"/>
          <w:lang w:val="en-US"/>
        </w:rPr>
        <w:t>, preparation of contract for signing</w:t>
      </w:r>
      <w:r w:rsidR="00074A7E" w:rsidRPr="002971D2">
        <w:rPr>
          <w:rFonts w:ascii="Times New Roman" w:hAnsi="Times New Roman"/>
          <w:snapToGrid w:val="0"/>
          <w:sz w:val="20"/>
          <w:szCs w:val="20"/>
          <w:lang w:val="en-US"/>
        </w:rPr>
        <w:t xml:space="preserve">); </w:t>
      </w:r>
      <w:r w:rsidR="00FB3400">
        <w:rPr>
          <w:rFonts w:ascii="Times New Roman" w:hAnsi="Times New Roman"/>
          <w:snapToGrid w:val="0"/>
          <w:sz w:val="20"/>
          <w:szCs w:val="20"/>
          <w:lang w:val="en-US"/>
        </w:rPr>
        <w:t xml:space="preserve">supervision of design, manufacturing and testing of equipment, delivery of equipment, materials and </w:t>
      </w:r>
      <w:r w:rsidR="00074A7E" w:rsidRPr="002971D2">
        <w:rPr>
          <w:rFonts w:ascii="Times New Roman" w:hAnsi="Times New Roman"/>
          <w:snapToGrid w:val="0"/>
          <w:sz w:val="20"/>
          <w:szCs w:val="20"/>
          <w:lang w:val="en-US"/>
        </w:rPr>
        <w:t>spare parts, construction and installation works, commissioning</w:t>
      </w:r>
      <w:r w:rsidR="00FB3400">
        <w:rPr>
          <w:rFonts w:ascii="Times New Roman" w:hAnsi="Times New Roman"/>
          <w:snapToGrid w:val="0"/>
          <w:sz w:val="20"/>
          <w:szCs w:val="20"/>
          <w:lang w:val="en-US"/>
        </w:rPr>
        <w:t xml:space="preserve"> and testing</w:t>
      </w:r>
      <w:r w:rsidR="00074A7E" w:rsidRPr="002971D2">
        <w:rPr>
          <w:rFonts w:ascii="Times New Roman" w:hAnsi="Times New Roman"/>
          <w:snapToGrid w:val="0"/>
          <w:sz w:val="20"/>
          <w:szCs w:val="20"/>
          <w:lang w:val="en-US"/>
        </w:rPr>
        <w:t>, start</w:t>
      </w:r>
      <w:r w:rsidR="00FB3400">
        <w:rPr>
          <w:rFonts w:ascii="Times New Roman" w:hAnsi="Times New Roman"/>
          <w:snapToGrid w:val="0"/>
          <w:sz w:val="20"/>
          <w:szCs w:val="20"/>
          <w:lang w:val="en-US"/>
        </w:rPr>
        <w:t xml:space="preserve">ing </w:t>
      </w:r>
      <w:r w:rsidR="00074A7E" w:rsidRPr="002971D2">
        <w:rPr>
          <w:rFonts w:ascii="Times New Roman" w:hAnsi="Times New Roman"/>
          <w:snapToGrid w:val="0"/>
          <w:sz w:val="20"/>
          <w:szCs w:val="20"/>
          <w:lang w:val="en-US"/>
        </w:rPr>
        <w:t>up</w:t>
      </w:r>
      <w:r w:rsidR="00FB3400">
        <w:rPr>
          <w:rFonts w:ascii="Times New Roman" w:hAnsi="Times New Roman"/>
          <w:snapToGrid w:val="0"/>
          <w:sz w:val="20"/>
          <w:szCs w:val="20"/>
          <w:lang w:val="en-US"/>
        </w:rPr>
        <w:t xml:space="preserve"> of the second generator unit of </w:t>
      </w:r>
      <w:proofErr w:type="spellStart"/>
      <w:r w:rsidR="00FB3400">
        <w:rPr>
          <w:rFonts w:ascii="Times New Roman" w:hAnsi="Times New Roman"/>
          <w:snapToGrid w:val="0"/>
          <w:sz w:val="20"/>
          <w:szCs w:val="20"/>
          <w:lang w:val="en-US"/>
        </w:rPr>
        <w:t>Kambarata</w:t>
      </w:r>
      <w:proofErr w:type="spellEnd"/>
      <w:r w:rsidR="00FB3400">
        <w:rPr>
          <w:rFonts w:ascii="Times New Roman" w:hAnsi="Times New Roman"/>
          <w:snapToGrid w:val="0"/>
          <w:sz w:val="20"/>
          <w:szCs w:val="20"/>
          <w:lang w:val="en-US"/>
        </w:rPr>
        <w:t xml:space="preserve"> HPP-2 </w:t>
      </w:r>
      <w:r w:rsidR="001E222E">
        <w:rPr>
          <w:rFonts w:ascii="Times New Roman" w:hAnsi="Times New Roman"/>
          <w:snapToGrid w:val="0"/>
          <w:sz w:val="20"/>
          <w:szCs w:val="20"/>
          <w:lang w:val="en-US"/>
        </w:rPr>
        <w:t>and SWYD 500 kV</w:t>
      </w:r>
      <w:r w:rsidR="00074A7E" w:rsidRPr="002971D2">
        <w:rPr>
          <w:rFonts w:ascii="Times New Roman" w:hAnsi="Times New Roman"/>
          <w:snapToGrid w:val="0"/>
          <w:sz w:val="20"/>
          <w:szCs w:val="20"/>
          <w:lang w:val="en-US"/>
        </w:rPr>
        <w:t>; monitoring of the environmental impact</w:t>
      </w:r>
      <w:r w:rsidR="001E222E">
        <w:rPr>
          <w:rFonts w:ascii="Times New Roman" w:hAnsi="Times New Roman"/>
          <w:snapToGrid w:val="0"/>
          <w:sz w:val="20"/>
          <w:szCs w:val="20"/>
          <w:lang w:val="en-US"/>
        </w:rPr>
        <w:t xml:space="preserve"> and</w:t>
      </w:r>
      <w:r w:rsidR="00074A7E" w:rsidRPr="002971D2">
        <w:rPr>
          <w:rFonts w:ascii="Times New Roman" w:hAnsi="Times New Roman"/>
          <w:snapToGrid w:val="0"/>
          <w:sz w:val="20"/>
          <w:szCs w:val="20"/>
          <w:lang w:val="en-US"/>
        </w:rPr>
        <w:t xml:space="preserve"> the contractor's occupational health and safety plans;</w:t>
      </w:r>
      <w:r w:rsidR="001E222E">
        <w:rPr>
          <w:rFonts w:ascii="Times New Roman" w:hAnsi="Times New Roman"/>
          <w:snapToGrid w:val="0"/>
          <w:sz w:val="20"/>
          <w:szCs w:val="20"/>
          <w:lang w:val="en-US"/>
        </w:rPr>
        <w:t xml:space="preserve"> monitoring of the project implementation plan; submission of regular reports to EPP; provision of training, if necessary, for the EPP staff.</w:t>
      </w:r>
      <w:r w:rsidR="00074A7E" w:rsidRPr="002971D2">
        <w:rPr>
          <w:sz w:val="20"/>
          <w:szCs w:val="20"/>
          <w:lang w:val="en-US"/>
        </w:rPr>
        <w:t xml:space="preserve"> </w:t>
      </w:r>
    </w:p>
    <w:p w:rsidR="008F59F8" w:rsidRPr="002971D2" w:rsidRDefault="008F59F8" w:rsidP="008F59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971D2">
        <w:rPr>
          <w:rFonts w:ascii="Times New Roman" w:hAnsi="Times New Roman" w:cs="Times New Roman"/>
          <w:sz w:val="20"/>
          <w:szCs w:val="20"/>
          <w:lang w:val="en-US"/>
        </w:rPr>
        <w:t>Contract Signature Date:</w:t>
      </w:r>
      <w:r w:rsidRPr="002971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9457E">
        <w:rPr>
          <w:rFonts w:ascii="Times New Roman" w:hAnsi="Times New Roman" w:cs="Times New Roman"/>
          <w:b/>
          <w:sz w:val="20"/>
          <w:szCs w:val="20"/>
          <w:lang w:val="en-US"/>
        </w:rPr>
        <w:t>December 17</w:t>
      </w:r>
      <w:r w:rsidR="0059457E" w:rsidRPr="002971D2">
        <w:rPr>
          <w:rFonts w:ascii="Times New Roman" w:hAnsi="Times New Roman" w:cs="Times New Roman"/>
          <w:b/>
          <w:sz w:val="20"/>
          <w:szCs w:val="20"/>
          <w:lang w:val="en-US"/>
        </w:rPr>
        <w:t>, 2020</w:t>
      </w:r>
    </w:p>
    <w:p w:rsidR="008F59F8" w:rsidRDefault="008F59F8" w:rsidP="008F59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953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1152"/>
        <w:gridCol w:w="1092"/>
        <w:gridCol w:w="1158"/>
        <w:gridCol w:w="1276"/>
        <w:gridCol w:w="1134"/>
        <w:gridCol w:w="1275"/>
        <w:gridCol w:w="851"/>
      </w:tblGrid>
      <w:tr w:rsidR="001D5221" w:rsidRPr="008F59F8" w:rsidTr="00F248F8">
        <w:trPr>
          <w:trHeight w:val="1618"/>
        </w:trPr>
        <w:tc>
          <w:tcPr>
            <w:tcW w:w="2015" w:type="dxa"/>
          </w:tcPr>
          <w:p w:rsidR="001D5221" w:rsidRPr="008F59F8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Consultants</w:t>
            </w:r>
            <w:proofErr w:type="spellEnd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’ (</w:t>
            </w: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Firm</w:t>
            </w:r>
            <w:proofErr w:type="spellEnd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names</w:t>
            </w:r>
            <w:proofErr w:type="spellEnd"/>
          </w:p>
        </w:tc>
        <w:tc>
          <w:tcPr>
            <w:tcW w:w="1152" w:type="dxa"/>
          </w:tcPr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Lombardi Engineering Ltd.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Temelsu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International      </w:t>
            </w:r>
          </w:p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Engineering Services Inc. </w:t>
            </w:r>
          </w:p>
          <w:p w:rsidR="001D5221" w:rsidRPr="00310B45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partner</w:t>
            </w: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092" w:type="dxa"/>
          </w:tcPr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Poyry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Switzerland Ltd.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Juru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Energy Limited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subconsultant</w:t>
            </w: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58" w:type="dxa"/>
          </w:tcPr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Tractebel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Engineering S.A.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Tractebel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Engineering GmbH      </w:t>
            </w:r>
          </w:p>
          <w:p w:rsidR="001D5221" w:rsidRPr="00860023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partner</w:t>
            </w: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1D5221" w:rsidRPr="00860023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Fichtner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GmbH&amp;Co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. KG</w:t>
            </w:r>
          </w:p>
        </w:tc>
        <w:tc>
          <w:tcPr>
            <w:tcW w:w="1134" w:type="dxa"/>
          </w:tcPr>
          <w:p w:rsidR="001D5221" w:rsidRPr="008E091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WAPCOS Limited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1D5221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  JSC «</w:t>
            </w:r>
            <w:proofErr w:type="spellStart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Incraft</w:t>
            </w:r>
            <w:proofErr w:type="spellEnd"/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»</w:t>
            </w:r>
          </w:p>
          <w:p w:rsidR="001D5221" w:rsidRPr="00860023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subconsultant</w:t>
            </w:r>
            <w:r w:rsidRPr="008E09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</w:tcPr>
          <w:p w:rsidR="001D5221" w:rsidRPr="00E014A8" w:rsidRDefault="00E014A8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JSC</w:t>
            </w:r>
            <w:r w:rsidR="001D52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Institute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Hydroproject</w:t>
            </w:r>
            <w:proofErr w:type="spellEnd"/>
          </w:p>
        </w:tc>
        <w:tc>
          <w:tcPr>
            <w:tcW w:w="851" w:type="dxa"/>
          </w:tcPr>
          <w:p w:rsidR="001D5221" w:rsidRPr="008F59F8" w:rsidRDefault="001D5221" w:rsidP="001D5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Rejected</w:t>
            </w:r>
            <w:proofErr w:type="spellEnd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Firm</w:t>
            </w:r>
            <w:proofErr w:type="spellEnd"/>
          </w:p>
        </w:tc>
      </w:tr>
      <w:tr w:rsidR="00E05F46" w:rsidRPr="008F59F8" w:rsidTr="00F248F8">
        <w:trPr>
          <w:trHeight w:val="405"/>
        </w:trPr>
        <w:tc>
          <w:tcPr>
            <w:tcW w:w="2015" w:type="dxa"/>
            <w:shd w:val="solid" w:color="FFFFFF" w:fill="auto"/>
          </w:tcPr>
          <w:p w:rsidR="008F59F8" w:rsidRPr="008F59F8" w:rsidRDefault="008F59F8" w:rsidP="008F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</w:t>
            </w:r>
            <w:proofErr w:type="spellEnd"/>
          </w:p>
        </w:tc>
        <w:tc>
          <w:tcPr>
            <w:tcW w:w="1152" w:type="dxa"/>
          </w:tcPr>
          <w:p w:rsidR="008F59F8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Switzerland,</w:t>
            </w:r>
          </w:p>
          <w:p w:rsidR="001D5221" w:rsidRPr="001D5221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1092" w:type="dxa"/>
          </w:tcPr>
          <w:p w:rsidR="008F59F8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Switzerland</w:t>
            </w:r>
            <w:r w:rsidR="00E167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</w:p>
          <w:p w:rsidR="00E167F0" w:rsidRPr="001D5221" w:rsidRDefault="00E167F0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United Kingdom</w:t>
            </w:r>
          </w:p>
        </w:tc>
        <w:tc>
          <w:tcPr>
            <w:tcW w:w="1158" w:type="dxa"/>
          </w:tcPr>
          <w:p w:rsidR="008F59F8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France,</w:t>
            </w:r>
          </w:p>
          <w:p w:rsidR="001D5221" w:rsidRPr="001D5221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1276" w:type="dxa"/>
          </w:tcPr>
          <w:p w:rsidR="008F59F8" w:rsidRPr="001D5221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1134" w:type="dxa"/>
          </w:tcPr>
          <w:p w:rsidR="008F59F8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India</w:t>
            </w:r>
            <w:r w:rsidR="00E167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</w:p>
          <w:p w:rsidR="00E167F0" w:rsidRPr="00E167F0" w:rsidRDefault="00E167F0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Kyrgyzstan</w:t>
            </w:r>
          </w:p>
        </w:tc>
        <w:tc>
          <w:tcPr>
            <w:tcW w:w="1275" w:type="dxa"/>
          </w:tcPr>
          <w:p w:rsidR="008F59F8" w:rsidRPr="001D5221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Russia</w:t>
            </w:r>
          </w:p>
        </w:tc>
        <w:tc>
          <w:tcPr>
            <w:tcW w:w="851" w:type="dxa"/>
          </w:tcPr>
          <w:p w:rsidR="008F59F8" w:rsidRPr="008F59F8" w:rsidRDefault="008F59F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5F46" w:rsidRPr="006A6044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8F59F8" w:rsidRPr="008F59F8" w:rsidRDefault="00F248F8" w:rsidP="008F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Consultants</w:t>
            </w:r>
            <w:proofErr w:type="spellEnd"/>
            <w:r w:rsidR="008F59F8"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8F59F8"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Firm</w:t>
            </w:r>
            <w:proofErr w:type="spellEnd"/>
            <w:r w:rsidR="008F59F8"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):</w:t>
            </w:r>
          </w:p>
        </w:tc>
        <w:tc>
          <w:tcPr>
            <w:tcW w:w="1152" w:type="dxa"/>
          </w:tcPr>
          <w:p w:rsidR="008F59F8" w:rsidRPr="008F59F8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Evaluated</w:t>
            </w:r>
          </w:p>
        </w:tc>
        <w:tc>
          <w:tcPr>
            <w:tcW w:w="1092" w:type="dxa"/>
          </w:tcPr>
          <w:p w:rsidR="008F59F8" w:rsidRPr="008F59F8" w:rsidRDefault="008F59F8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Evaluated </w:t>
            </w:r>
          </w:p>
        </w:tc>
        <w:tc>
          <w:tcPr>
            <w:tcW w:w="1158" w:type="dxa"/>
          </w:tcPr>
          <w:p w:rsidR="008F59F8" w:rsidRPr="008F59F8" w:rsidRDefault="008F59F8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Evaluated </w:t>
            </w:r>
          </w:p>
        </w:tc>
        <w:tc>
          <w:tcPr>
            <w:tcW w:w="1276" w:type="dxa"/>
          </w:tcPr>
          <w:p w:rsidR="008F59F8" w:rsidRPr="008F59F8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Awarded</w:t>
            </w:r>
            <w:proofErr w:type="spellEnd"/>
          </w:p>
        </w:tc>
        <w:tc>
          <w:tcPr>
            <w:tcW w:w="1134" w:type="dxa"/>
          </w:tcPr>
          <w:p w:rsidR="008F59F8" w:rsidRPr="008F59F8" w:rsidRDefault="008F59F8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Evaluated </w:t>
            </w:r>
          </w:p>
        </w:tc>
        <w:tc>
          <w:tcPr>
            <w:tcW w:w="1275" w:type="dxa"/>
          </w:tcPr>
          <w:p w:rsidR="008F59F8" w:rsidRPr="001D5221" w:rsidRDefault="001D5221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</w:t>
            </w:r>
            <w:r w:rsidRPr="001D522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letter of refusal to participate in the bids</w:t>
            </w:r>
            <w:r w:rsidR="004875D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was received</w:t>
            </w:r>
          </w:p>
        </w:tc>
        <w:tc>
          <w:tcPr>
            <w:tcW w:w="851" w:type="dxa"/>
          </w:tcPr>
          <w:p w:rsidR="008F59F8" w:rsidRPr="001D5221" w:rsidRDefault="008F59F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E09A4" w:rsidRPr="008F59F8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Technical</w:t>
            </w:r>
            <w:proofErr w:type="spellEnd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Score</w:t>
            </w:r>
            <w:proofErr w:type="spellEnd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weighted</w:t>
            </w:r>
            <w:proofErr w:type="spellEnd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63,05</w:t>
            </w:r>
          </w:p>
        </w:tc>
        <w:tc>
          <w:tcPr>
            <w:tcW w:w="109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1158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73,62</w:t>
            </w:r>
          </w:p>
        </w:tc>
        <w:tc>
          <w:tcPr>
            <w:tcW w:w="1276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82,24</w:t>
            </w:r>
          </w:p>
        </w:tc>
        <w:tc>
          <w:tcPr>
            <w:tcW w:w="1134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69,84</w:t>
            </w:r>
          </w:p>
        </w:tc>
        <w:tc>
          <w:tcPr>
            <w:tcW w:w="1275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none</w:t>
            </w:r>
            <w:proofErr w:type="spellEnd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</w:tr>
      <w:tr w:rsidR="000E09A4" w:rsidRPr="008F59F8" w:rsidTr="00F248F8">
        <w:trPr>
          <w:trHeight w:val="405"/>
        </w:trPr>
        <w:tc>
          <w:tcPr>
            <w:tcW w:w="2015" w:type="dxa"/>
            <w:shd w:val="solid" w:color="FFFFFF" w:fill="auto"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Financial</w:t>
            </w:r>
            <w:proofErr w:type="spellEnd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Score</w:t>
            </w:r>
            <w:proofErr w:type="spellEnd"/>
          </w:p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weighted</w:t>
            </w:r>
            <w:proofErr w:type="spellEnd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0E09A4" w:rsidRPr="00F248F8" w:rsidRDefault="00B21648" w:rsidP="00B2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</w:t>
            </w:r>
            <w:r w:rsidR="000E09A4"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58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09A4" w:rsidRPr="00F248F8" w:rsidRDefault="00B62703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0E09A4"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9A4" w:rsidRPr="008F59F8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Combined</w:t>
            </w:r>
            <w:proofErr w:type="spellEnd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Score</w:t>
            </w:r>
            <w:proofErr w:type="spellEnd"/>
          </w:p>
        </w:tc>
        <w:tc>
          <w:tcPr>
            <w:tcW w:w="115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1158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85,79</w:t>
            </w:r>
          </w:p>
        </w:tc>
        <w:tc>
          <w:tcPr>
            <w:tcW w:w="1134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248F8" w:rsidRPr="008F59F8" w:rsidTr="00F248F8">
        <w:trPr>
          <w:trHeight w:val="253"/>
        </w:trPr>
        <w:tc>
          <w:tcPr>
            <w:tcW w:w="9102" w:type="dxa"/>
            <w:gridSpan w:val="7"/>
            <w:shd w:val="solid" w:color="FFFFFF" w:fill="auto"/>
            <w:vAlign w:val="center"/>
          </w:tcPr>
          <w:p w:rsidR="00F248F8" w:rsidRPr="00860023" w:rsidRDefault="00F248F8" w:rsidP="00F24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Criteria</w:t>
            </w:r>
            <w:proofErr w:type="spellEnd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" w:type="dxa"/>
            <w:vMerge/>
          </w:tcPr>
          <w:p w:rsidR="00F248F8" w:rsidRPr="008F59F8" w:rsidRDefault="00F248F8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9A4" w:rsidRPr="000E09A4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0E09A4" w:rsidRPr="00695581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9558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9558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69558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) Specific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</w:t>
            </w:r>
            <w:r w:rsidRPr="0069558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xperience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of the Consultant (as a firm) relevant to the Assignment</w:t>
            </w:r>
          </w:p>
        </w:tc>
        <w:tc>
          <w:tcPr>
            <w:tcW w:w="115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09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158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9,20</w:t>
            </w:r>
          </w:p>
        </w:tc>
        <w:tc>
          <w:tcPr>
            <w:tcW w:w="1276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1134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1275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E09A4" w:rsidRPr="000E09A4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E09A4" w:rsidRPr="008F59F8" w:rsidTr="00F248F8">
        <w:trPr>
          <w:trHeight w:val="441"/>
        </w:trPr>
        <w:tc>
          <w:tcPr>
            <w:tcW w:w="2015" w:type="dxa"/>
            <w:shd w:val="solid" w:color="FFFFFF" w:fill="auto"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(ii)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Adequacy and quality of the proposed methodology, and work plan in responding to the Terms of Reference </w:t>
            </w:r>
            <w:r w:rsidRPr="008F59F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(Sub-criteria):</w:t>
            </w:r>
          </w:p>
        </w:tc>
        <w:tc>
          <w:tcPr>
            <w:tcW w:w="115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19,20</w:t>
            </w:r>
          </w:p>
        </w:tc>
        <w:tc>
          <w:tcPr>
            <w:tcW w:w="109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B627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58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17,40</w:t>
            </w:r>
          </w:p>
        </w:tc>
        <w:tc>
          <w:tcPr>
            <w:tcW w:w="1276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25,20</w:t>
            </w:r>
          </w:p>
        </w:tc>
        <w:tc>
          <w:tcPr>
            <w:tcW w:w="1134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24,00</w:t>
            </w:r>
          </w:p>
        </w:tc>
        <w:tc>
          <w:tcPr>
            <w:tcW w:w="1275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9A4" w:rsidRPr="00E014A8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0E09A4" w:rsidRPr="00E014A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014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(iii) Key Experts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’ qualifications and competence for the Assignment.</w:t>
            </w:r>
          </w:p>
        </w:tc>
        <w:tc>
          <w:tcPr>
            <w:tcW w:w="115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21,45</w:t>
            </w:r>
          </w:p>
        </w:tc>
        <w:tc>
          <w:tcPr>
            <w:tcW w:w="1092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29,55</w:t>
            </w:r>
          </w:p>
        </w:tc>
        <w:tc>
          <w:tcPr>
            <w:tcW w:w="1158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27,42</w:t>
            </w:r>
          </w:p>
        </w:tc>
        <w:tc>
          <w:tcPr>
            <w:tcW w:w="1276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27,84</w:t>
            </w:r>
          </w:p>
        </w:tc>
        <w:tc>
          <w:tcPr>
            <w:tcW w:w="1134" w:type="dxa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20,04</w:t>
            </w:r>
          </w:p>
        </w:tc>
        <w:tc>
          <w:tcPr>
            <w:tcW w:w="1275" w:type="dxa"/>
          </w:tcPr>
          <w:p w:rsidR="000E09A4" w:rsidRPr="00F248F8" w:rsidRDefault="00AD5683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E09A4" w:rsidRPr="00E014A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E09A4" w:rsidRPr="00E014A8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0E09A4" w:rsidRPr="00E014A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014A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(iv)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Transfer of knowledge (training) program (relevance of approach and methodology).</w:t>
            </w:r>
          </w:p>
        </w:tc>
        <w:tc>
          <w:tcPr>
            <w:tcW w:w="1152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6,40</w:t>
            </w:r>
          </w:p>
        </w:tc>
        <w:tc>
          <w:tcPr>
            <w:tcW w:w="1092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9,20</w:t>
            </w:r>
          </w:p>
        </w:tc>
        <w:tc>
          <w:tcPr>
            <w:tcW w:w="1158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9,60</w:t>
            </w:r>
          </w:p>
        </w:tc>
        <w:tc>
          <w:tcPr>
            <w:tcW w:w="1276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9,40</w:t>
            </w:r>
          </w:p>
        </w:tc>
        <w:tc>
          <w:tcPr>
            <w:tcW w:w="1134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9,20</w:t>
            </w:r>
          </w:p>
        </w:tc>
        <w:tc>
          <w:tcPr>
            <w:tcW w:w="1275" w:type="dxa"/>
            <w:vAlign w:val="center"/>
          </w:tcPr>
          <w:p w:rsidR="000E09A4" w:rsidRPr="00F248F8" w:rsidRDefault="00AD5683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E09A4" w:rsidRPr="00E014A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E09A4" w:rsidRPr="00E014A8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0E09A4" w:rsidRPr="00E014A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(v) Participation by nationals  among proposed Key Experts.</w:t>
            </w:r>
          </w:p>
        </w:tc>
        <w:tc>
          <w:tcPr>
            <w:tcW w:w="1152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092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158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276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134" w:type="dxa"/>
            <w:vAlign w:val="center"/>
          </w:tcPr>
          <w:p w:rsidR="000E09A4" w:rsidRPr="00F248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275" w:type="dxa"/>
            <w:vAlign w:val="center"/>
          </w:tcPr>
          <w:p w:rsidR="000E09A4" w:rsidRPr="00F248F8" w:rsidRDefault="00AD5683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F248F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0E09A4" w:rsidRPr="00E014A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E87F68" w:rsidRPr="00E014A8" w:rsidTr="00F248F8">
        <w:trPr>
          <w:trHeight w:val="83"/>
        </w:trPr>
        <w:tc>
          <w:tcPr>
            <w:tcW w:w="2015" w:type="dxa"/>
            <w:shd w:val="clear" w:color="auto" w:fill="D0CECE" w:themeFill="background2" w:themeFillShade="E6"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shd w:val="clear" w:color="auto" w:fill="D0CECE" w:themeFill="background2" w:themeFillShade="E6"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D0CECE" w:themeFill="background2" w:themeFillShade="E6"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:rsidR="00E87F68" w:rsidRPr="00E014A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E09A4" w:rsidRPr="008F59F8" w:rsidTr="00F248F8">
        <w:trPr>
          <w:trHeight w:val="430"/>
        </w:trPr>
        <w:tc>
          <w:tcPr>
            <w:tcW w:w="2015" w:type="dxa"/>
            <w:shd w:val="solid" w:color="FFFFFF" w:fill="auto"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Prices (as read out) &amp; Currency(</w:t>
            </w:r>
            <w:proofErr w:type="spellStart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ies</w:t>
            </w:r>
            <w:proofErr w:type="spellEnd"/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52" w:type="dxa"/>
          </w:tcPr>
          <w:p w:rsidR="000E09A4" w:rsidRPr="004C6741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92" w:type="dxa"/>
          </w:tcPr>
          <w:p w:rsidR="000E09A4" w:rsidRPr="005C736C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4 851 969,59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USD</w:t>
            </w:r>
          </w:p>
        </w:tc>
        <w:tc>
          <w:tcPr>
            <w:tcW w:w="1158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3 521 205,00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USD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+ 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br/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18 877 000,00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KGS</w:t>
            </w:r>
          </w:p>
        </w:tc>
        <w:tc>
          <w:tcPr>
            <w:tcW w:w="1134" w:type="dxa"/>
          </w:tcPr>
          <w:p w:rsidR="000E09A4" w:rsidRPr="004C6741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E09A4" w:rsidRPr="004C6741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7F68" w:rsidRPr="008F59F8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</w:tcPr>
          <w:p w:rsidR="00E87F68" w:rsidRPr="008F59F8" w:rsidRDefault="006A444F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87F68"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</w:tcPr>
          <w:p w:rsidR="00E87F68" w:rsidRPr="00AD5683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158" w:type="dxa"/>
          </w:tcPr>
          <w:p w:rsidR="00E87F68" w:rsidRPr="00AD5683" w:rsidRDefault="006A444F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F68" w:rsidRPr="00AD5683" w:rsidRDefault="006A444F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USD</w:t>
            </w:r>
            <w:r w:rsidR="00E87F68"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+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KG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 w:rsidR="00E87F68"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87F68" w:rsidRPr="008F59F8" w:rsidRDefault="006A444F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F68" w:rsidRPr="008F59F8" w:rsidRDefault="00AD5683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Merge/>
          </w:tcPr>
          <w:p w:rsidR="00E87F68" w:rsidRPr="008F59F8" w:rsidRDefault="00E87F68" w:rsidP="00E0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9A4" w:rsidRPr="008F59F8" w:rsidTr="00F248F8">
        <w:trPr>
          <w:trHeight w:val="327"/>
        </w:trPr>
        <w:tc>
          <w:tcPr>
            <w:tcW w:w="2015" w:type="dxa"/>
            <w:shd w:val="solid" w:color="FFFFFF" w:fill="auto"/>
          </w:tcPr>
          <w:p w:rsidR="000E09A4" w:rsidRPr="008F59F8" w:rsidRDefault="000E09A4" w:rsidP="005C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Evaluation Cu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rency &amp; Currency Conversion</w:t>
            </w:r>
          </w:p>
        </w:tc>
        <w:tc>
          <w:tcPr>
            <w:tcW w:w="1152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92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USD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= 69,85 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KG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S</w:t>
            </w:r>
          </w:p>
        </w:tc>
        <w:tc>
          <w:tcPr>
            <w:tcW w:w="1158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 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USD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= 69,85 </w:t>
            </w: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KGZ</w:t>
            </w:r>
          </w:p>
        </w:tc>
        <w:tc>
          <w:tcPr>
            <w:tcW w:w="1134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9A4" w:rsidRPr="008F59F8" w:rsidTr="00F248F8">
        <w:trPr>
          <w:trHeight w:val="253"/>
        </w:trPr>
        <w:tc>
          <w:tcPr>
            <w:tcW w:w="2015" w:type="dxa"/>
            <w:shd w:val="solid" w:color="FFFFFF" w:fill="auto"/>
          </w:tcPr>
          <w:p w:rsidR="000E09A4" w:rsidRPr="000E09A4" w:rsidRDefault="000E09A4" w:rsidP="00AF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E09A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Final Evaluation Price</w:t>
            </w:r>
          </w:p>
        </w:tc>
        <w:tc>
          <w:tcPr>
            <w:tcW w:w="1152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92" w:type="dxa"/>
          </w:tcPr>
          <w:p w:rsidR="000E09A4" w:rsidRPr="005C736C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4 839 974,63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USD</w:t>
            </w:r>
          </w:p>
        </w:tc>
        <w:tc>
          <w:tcPr>
            <w:tcW w:w="1158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3 521 205,00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USD</w:t>
            </w:r>
          </w:p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and</w:t>
            </w:r>
          </w:p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18 877 000,00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KGS</w:t>
            </w:r>
          </w:p>
        </w:tc>
        <w:tc>
          <w:tcPr>
            <w:tcW w:w="1134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9A4" w:rsidRPr="008F59F8" w:rsidTr="00F248F8">
        <w:trPr>
          <w:trHeight w:val="430"/>
        </w:trPr>
        <w:tc>
          <w:tcPr>
            <w:tcW w:w="2015" w:type="dxa"/>
            <w:shd w:val="solid" w:color="FFFFFF" w:fill="auto"/>
          </w:tcPr>
          <w:p w:rsidR="000E09A4" w:rsidRPr="005C736C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  <w:lang w:val="en-US"/>
              </w:rPr>
            </w:pPr>
            <w:r w:rsidRPr="008F59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Final Negotiated Price </w:t>
            </w:r>
            <w:bookmarkStart w:id="0" w:name="_GoBack"/>
            <w:bookmarkEnd w:id="0"/>
          </w:p>
        </w:tc>
        <w:tc>
          <w:tcPr>
            <w:tcW w:w="1152" w:type="dxa"/>
          </w:tcPr>
          <w:p w:rsidR="000E09A4" w:rsidRPr="00830486" w:rsidRDefault="000E09A4" w:rsidP="006A4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92" w:type="dxa"/>
          </w:tcPr>
          <w:p w:rsidR="000E09A4" w:rsidRPr="00AD5683" w:rsidRDefault="006A444F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58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3 521 205,00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USD</w:t>
            </w:r>
          </w:p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and</w:t>
            </w:r>
          </w:p>
          <w:p w:rsidR="000E09A4" w:rsidRPr="00AD568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D56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18 877 000,00</w:t>
            </w:r>
            <w:r w:rsid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5C736C" w:rsidRPr="005C73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val="en-US"/>
              </w:rPr>
              <w:t>KGS</w:t>
            </w:r>
          </w:p>
        </w:tc>
        <w:tc>
          <w:tcPr>
            <w:tcW w:w="1134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7F68" w:rsidRPr="008F59F8" w:rsidTr="00F248F8">
        <w:trPr>
          <w:trHeight w:val="83"/>
        </w:trPr>
        <w:tc>
          <w:tcPr>
            <w:tcW w:w="2015" w:type="dxa"/>
            <w:shd w:val="clear" w:color="auto" w:fill="D0CECE" w:themeFill="background2" w:themeFillShade="E6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D0CECE" w:themeFill="background2" w:themeFillShade="E6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D0CECE" w:themeFill="background2" w:themeFillShade="E6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7F68" w:rsidRPr="008F59F8" w:rsidRDefault="00E87F68" w:rsidP="008F5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09A4" w:rsidRPr="008F59F8" w:rsidTr="00F248F8">
        <w:trPr>
          <w:trHeight w:val="240"/>
        </w:trPr>
        <w:tc>
          <w:tcPr>
            <w:tcW w:w="2015" w:type="dxa"/>
            <w:shd w:val="solid" w:color="FFFFFF" w:fill="auto"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F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Rank</w:t>
            </w:r>
            <w:proofErr w:type="spellEnd"/>
          </w:p>
        </w:tc>
        <w:tc>
          <w:tcPr>
            <w:tcW w:w="1152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92" w:type="dxa"/>
          </w:tcPr>
          <w:p w:rsidR="000E09A4" w:rsidRPr="0086002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0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58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0E09A4" w:rsidRPr="00860023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00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0E09A4" w:rsidRPr="00830486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vMerge/>
          </w:tcPr>
          <w:p w:rsidR="000E09A4" w:rsidRPr="008F59F8" w:rsidRDefault="000E09A4" w:rsidP="000E0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F59F8" w:rsidRPr="008F59F8" w:rsidRDefault="008F59F8" w:rsidP="008F59F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8F59F8" w:rsidRPr="008F59F8" w:rsidSect="008E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92" w:rsidRDefault="00043792" w:rsidP="000D4AAC">
      <w:pPr>
        <w:spacing w:after="0" w:line="240" w:lineRule="auto"/>
      </w:pPr>
      <w:r>
        <w:separator/>
      </w:r>
    </w:p>
  </w:endnote>
  <w:endnote w:type="continuationSeparator" w:id="0">
    <w:p w:rsidR="00043792" w:rsidRDefault="00043792" w:rsidP="000D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AC" w:rsidRDefault="000D4A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AC" w:rsidRDefault="000D4A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AC" w:rsidRDefault="000D4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92" w:rsidRDefault="00043792" w:rsidP="000D4AAC">
      <w:pPr>
        <w:spacing w:after="0" w:line="240" w:lineRule="auto"/>
      </w:pPr>
      <w:r>
        <w:separator/>
      </w:r>
    </w:p>
  </w:footnote>
  <w:footnote w:type="continuationSeparator" w:id="0">
    <w:p w:rsidR="00043792" w:rsidRDefault="00043792" w:rsidP="000D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AC" w:rsidRDefault="000D4A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AC" w:rsidRDefault="000D4A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AAC" w:rsidRDefault="000D4A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06A"/>
    <w:multiLevelType w:val="hybridMultilevel"/>
    <w:tmpl w:val="A6A8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4B"/>
    <w:rsid w:val="0000523B"/>
    <w:rsid w:val="00043792"/>
    <w:rsid w:val="00074A7E"/>
    <w:rsid w:val="000D4AAC"/>
    <w:rsid w:val="000E09A4"/>
    <w:rsid w:val="00130775"/>
    <w:rsid w:val="001D5221"/>
    <w:rsid w:val="001D5ADD"/>
    <w:rsid w:val="001E222E"/>
    <w:rsid w:val="00291B7B"/>
    <w:rsid w:val="002971D2"/>
    <w:rsid w:val="002B50F1"/>
    <w:rsid w:val="002E6EB7"/>
    <w:rsid w:val="002F22B3"/>
    <w:rsid w:val="003A2E52"/>
    <w:rsid w:val="004875DF"/>
    <w:rsid w:val="005901E9"/>
    <w:rsid w:val="0059457E"/>
    <w:rsid w:val="005A6EF4"/>
    <w:rsid w:val="005C736C"/>
    <w:rsid w:val="005E508E"/>
    <w:rsid w:val="00695581"/>
    <w:rsid w:val="006A444F"/>
    <w:rsid w:val="006A6044"/>
    <w:rsid w:val="007D3A4B"/>
    <w:rsid w:val="008E40C9"/>
    <w:rsid w:val="008F59F8"/>
    <w:rsid w:val="00904C82"/>
    <w:rsid w:val="00920910"/>
    <w:rsid w:val="00930E76"/>
    <w:rsid w:val="009D196E"/>
    <w:rsid w:val="009E10AD"/>
    <w:rsid w:val="00AD5683"/>
    <w:rsid w:val="00AF16D2"/>
    <w:rsid w:val="00AF2953"/>
    <w:rsid w:val="00B15593"/>
    <w:rsid w:val="00B21648"/>
    <w:rsid w:val="00B3297A"/>
    <w:rsid w:val="00B4699A"/>
    <w:rsid w:val="00B62703"/>
    <w:rsid w:val="00BA21C6"/>
    <w:rsid w:val="00BE432E"/>
    <w:rsid w:val="00C31724"/>
    <w:rsid w:val="00C752C3"/>
    <w:rsid w:val="00C972DD"/>
    <w:rsid w:val="00DA31B1"/>
    <w:rsid w:val="00E014A8"/>
    <w:rsid w:val="00E05F46"/>
    <w:rsid w:val="00E167F0"/>
    <w:rsid w:val="00E23BC4"/>
    <w:rsid w:val="00E626FD"/>
    <w:rsid w:val="00E87F68"/>
    <w:rsid w:val="00EE264E"/>
    <w:rsid w:val="00F248F8"/>
    <w:rsid w:val="00F72EB1"/>
    <w:rsid w:val="00F91B2F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7F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EE264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264E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A2E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AAC"/>
  </w:style>
  <w:style w:type="paragraph" w:styleId="a6">
    <w:name w:val="footer"/>
    <w:basedOn w:val="a"/>
    <w:link w:val="a7"/>
    <w:uiPriority w:val="99"/>
    <w:unhideWhenUsed/>
    <w:rsid w:val="000D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AAC"/>
  </w:style>
  <w:style w:type="paragraph" w:styleId="a8">
    <w:name w:val="Balloon Text"/>
    <w:basedOn w:val="a"/>
    <w:link w:val="a9"/>
    <w:uiPriority w:val="99"/>
    <w:semiHidden/>
    <w:unhideWhenUsed/>
    <w:rsid w:val="00B2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2020-12-24T04:04:00Z</dcterms:created>
  <dcterms:modified xsi:type="dcterms:W3CDTF">2020-12-24T05:34:00Z</dcterms:modified>
</cp:coreProperties>
</file>